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b w:val="0"/>
          <w:bCs/>
          <w:spacing w:val="6"/>
          <w:sz w:val="44"/>
          <w:szCs w:val="44"/>
          <w:lang w:val="en-US" w:eastAsia="zh-CN"/>
        </w:rPr>
      </w:pPr>
      <w:r>
        <w:rPr>
          <w:rFonts w:hint="eastAsia" w:ascii="方正公文小标宋" w:hAnsi="方正公文小标宋" w:eastAsia="方正公文小标宋" w:cs="方正公文小标宋"/>
          <w:b w:val="0"/>
          <w:bCs/>
          <w:spacing w:val="6"/>
          <w:sz w:val="44"/>
          <w:szCs w:val="44"/>
          <w:lang w:val="en-US" w:eastAsia="zh-CN"/>
        </w:rPr>
        <w:t>双鸭山农村商业银行股份有限公司与</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color w:val="000000"/>
          <w:kern w:val="0"/>
          <w:sz w:val="44"/>
          <w:szCs w:val="44"/>
          <w:lang w:val="en-US" w:eastAsia="zh-CN" w:bidi="ar"/>
        </w:rPr>
      </w:pPr>
      <w:r>
        <w:rPr>
          <w:rFonts w:hint="eastAsia" w:ascii="方正公文小标宋" w:hAnsi="方正公文小标宋" w:eastAsia="方正公文小标宋" w:cs="方正公文小标宋"/>
          <w:b w:val="0"/>
          <w:bCs/>
          <w:spacing w:val="6"/>
          <w:sz w:val="44"/>
          <w:szCs w:val="44"/>
          <w:lang w:val="en-US" w:eastAsia="zh-CN"/>
        </w:rPr>
        <w:t>双鸭山鸿展生物科技有限责任公司</w:t>
      </w:r>
      <w:r>
        <w:rPr>
          <w:rFonts w:hint="eastAsia" w:ascii="方正公文小标宋" w:hAnsi="方正公文小标宋" w:eastAsia="方正公文小标宋" w:cs="方正公文小标宋"/>
          <w:color w:val="000000"/>
          <w:kern w:val="0"/>
          <w:sz w:val="44"/>
          <w:szCs w:val="44"/>
          <w:lang w:val="en-US" w:eastAsia="zh-CN" w:bidi="ar"/>
        </w:rPr>
        <w:t>重大关联交易的信息披露报告</w:t>
      </w:r>
    </w:p>
    <w:p>
      <w:pPr>
        <w:pStyle w:val="2"/>
        <w:rPr>
          <w:rFonts w:hint="eastAsia"/>
          <w:lang w:val="en-US" w:eastAsia="zh-CN"/>
        </w:rPr>
      </w:pP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根据《银行保险机构关联交易管理办法》（中国银行保</w:t>
      </w:r>
      <w:r>
        <w:rPr>
          <w:rFonts w:hint="eastAsia" w:ascii="仿宋_GB2312" w:hAnsi="宋体" w:eastAsia="仿宋_GB2312" w:cs="仿宋_GB2312"/>
          <w:color w:val="000000"/>
          <w:kern w:val="0"/>
          <w:sz w:val="31"/>
          <w:szCs w:val="31"/>
          <w:lang w:val="en-US" w:eastAsia="zh-CN" w:bidi="ar"/>
        </w:rPr>
        <w:t>险监督管理委员会令〔2022〕1号），现将本行与双鸭山鸿展生物科技有限责任公司的重大关联情况披露如下：</w:t>
      </w:r>
    </w:p>
    <w:p>
      <w:pPr>
        <w:keepNext w:val="0"/>
        <w:keepLines w:val="0"/>
        <w:widowControl/>
        <w:suppressLineNumbers w:val="0"/>
        <w:ind w:firstLine="620" w:firstLineChars="200"/>
        <w:jc w:val="left"/>
        <w:rPr>
          <w:rFonts w:hint="eastAsia"/>
          <w:lang w:val="en-US" w:eastAsia="zh-CN"/>
        </w:rPr>
      </w:pPr>
      <w:r>
        <w:rPr>
          <w:rFonts w:ascii="黑体" w:hAnsi="宋体" w:eastAsia="黑体" w:cs="黑体"/>
          <w:color w:val="000000"/>
          <w:kern w:val="0"/>
          <w:sz w:val="31"/>
          <w:szCs w:val="31"/>
          <w:lang w:val="en-US" w:eastAsia="zh-CN" w:bidi="ar"/>
        </w:rPr>
        <w:t>一、关联交易概述情况</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jc w:val="both"/>
        <w:textAlignment w:val="auto"/>
        <w:rPr>
          <w:rFonts w:hint="eastAsia" w:ascii="方正仿宋_GB2312" w:hAnsi="方正仿宋_GB2312" w:eastAsia="方正仿宋_GB2312" w:cs="方正仿宋_GB2312"/>
          <w:b w:val="0"/>
          <w:bCs/>
          <w:spacing w:val="6"/>
          <w:sz w:val="32"/>
          <w:szCs w:val="32"/>
          <w:highlight w:val="none"/>
          <w:lang w:val="en-US" w:eastAsia="zh-CN"/>
        </w:rPr>
      </w:pPr>
      <w:r>
        <w:rPr>
          <w:rFonts w:hint="eastAsia" w:ascii="方正仿宋_GB2312" w:hAnsi="方正仿宋_GB2312" w:eastAsia="方正仿宋_GB2312" w:cs="方正仿宋_GB2312"/>
          <w:bCs/>
          <w:spacing w:val="6"/>
          <w:sz w:val="32"/>
          <w:szCs w:val="32"/>
          <w:lang w:val="en-US" w:eastAsia="zh-CN"/>
        </w:rPr>
        <w:t>双鸭山</w:t>
      </w:r>
      <w:r>
        <w:rPr>
          <w:rFonts w:hint="eastAsia" w:ascii="方正仿宋_GB2312" w:hAnsi="方正仿宋_GB2312" w:eastAsia="方正仿宋_GB2312" w:cs="方正仿宋_GB2312"/>
          <w:bCs/>
          <w:spacing w:val="6"/>
          <w:sz w:val="32"/>
          <w:szCs w:val="32"/>
        </w:rPr>
        <w:t>鸿展生</w:t>
      </w:r>
      <w:r>
        <w:rPr>
          <w:rFonts w:hint="eastAsia" w:ascii="方正仿宋_GB2312" w:hAnsi="方正仿宋_GB2312" w:eastAsia="方正仿宋_GB2312" w:cs="方正仿宋_GB2312"/>
          <w:bCs/>
          <w:spacing w:val="6"/>
          <w:sz w:val="32"/>
          <w:szCs w:val="32"/>
          <w:lang w:val="en-US" w:eastAsia="zh-CN"/>
        </w:rPr>
        <w:t>物科技有限责任公司于2024年9月26</w:t>
      </w:r>
      <w:r>
        <w:rPr>
          <w:rFonts w:hint="eastAsia" w:ascii="方正仿宋_GB2312" w:hAnsi="方正仿宋_GB2312" w:eastAsia="方正仿宋_GB2312" w:cs="方正仿宋_GB2312"/>
          <w:spacing w:val="6"/>
          <w:sz w:val="32"/>
          <w:szCs w:val="32"/>
          <w:highlight w:val="none"/>
          <w:lang w:val="en-US" w:eastAsia="zh-CN"/>
        </w:rPr>
        <w:t>日，向集贤农村商业银行股份有限公司营业部申请银团贷款，金额25,000万元人民币。双鸭山农村商业银行股份有限公司参与发放银团贷款1笔，贷款金额3,500万元</w:t>
      </w:r>
      <w:r>
        <w:rPr>
          <w:rFonts w:hint="eastAsia" w:ascii="方正仿宋_GB2312" w:hAnsi="方正仿宋_GB2312" w:eastAsia="方正仿宋_GB2312" w:cs="方正仿宋_GB2312"/>
          <w:spacing w:val="6"/>
          <w:sz w:val="32"/>
          <w:szCs w:val="32"/>
          <w:highlight w:val="none"/>
          <w:lang w:eastAsia="zh-CN"/>
        </w:rPr>
        <w:t>。</w:t>
      </w:r>
      <w:r>
        <w:rPr>
          <w:rFonts w:hint="eastAsia" w:ascii="方正仿宋_GB2312" w:hAnsi="方正仿宋_GB2312" w:eastAsia="方正仿宋_GB2312" w:cs="方正仿宋_GB2312"/>
          <w:spacing w:val="6"/>
          <w:sz w:val="32"/>
          <w:szCs w:val="32"/>
          <w:highlight w:val="none"/>
          <w:lang w:val="en-US" w:eastAsia="zh-CN"/>
        </w:rPr>
        <w:t>按照《双鸭山农村商业银</w:t>
      </w:r>
      <w:r>
        <w:rPr>
          <w:rFonts w:hint="eastAsia" w:ascii="方正仿宋_GB2312" w:hAnsi="方正仿宋_GB2312" w:eastAsia="方正仿宋_GB2312" w:cs="方正仿宋_GB2312"/>
          <w:b w:val="0"/>
          <w:bCs/>
          <w:spacing w:val="6"/>
          <w:sz w:val="32"/>
          <w:szCs w:val="32"/>
          <w:highlight w:val="none"/>
          <w:lang w:val="en-US" w:eastAsia="zh-CN"/>
        </w:rPr>
        <w:t>行股份有限公司关联交易管理办法》中重大关联交易的认定，单个关联方之间单笔交易金额达到银行上季度末资本净额的1%以上，或累计达到银行机构上季末资本净额5%以上的交易，认定为重大交易。该笔贷款金额3,500万元，</w:t>
      </w:r>
      <w:r>
        <w:rPr>
          <w:rFonts w:hint="eastAsia" w:ascii="方正仿宋_GB2312" w:hAnsi="方正仿宋_GB2312" w:eastAsia="方正仿宋_GB2312" w:cs="方正仿宋_GB2312"/>
          <w:spacing w:val="6"/>
          <w:sz w:val="32"/>
          <w:szCs w:val="32"/>
          <w:highlight w:val="none"/>
          <w:lang w:val="en-US" w:eastAsia="zh-CN"/>
        </w:rPr>
        <w:t>占2024年9月末资本净额41,893.06万元的8.35%，因此</w:t>
      </w:r>
      <w:r>
        <w:rPr>
          <w:rFonts w:hint="eastAsia" w:ascii="方正仿宋_GB2312" w:hAnsi="方正仿宋_GB2312" w:eastAsia="方正仿宋_GB2312" w:cs="方正仿宋_GB2312"/>
          <w:b w:val="0"/>
          <w:bCs/>
          <w:spacing w:val="6"/>
          <w:sz w:val="32"/>
          <w:szCs w:val="32"/>
          <w:highlight w:val="none"/>
          <w:lang w:val="en-US" w:eastAsia="zh-CN"/>
        </w:rPr>
        <w:t>认定该笔交易为重大关联交易。</w:t>
      </w: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二、交易对手情况</w:t>
      </w:r>
    </w:p>
    <w:p>
      <w:pPr>
        <w:keepNext w:val="0"/>
        <w:keepLines w:val="0"/>
        <w:pageBreakBefore w:val="0"/>
        <w:widowControl w:val="0"/>
        <w:numPr>
          <w:ilvl w:val="0"/>
          <w:numId w:val="0"/>
        </w:numPr>
        <w:kinsoku/>
        <w:wordWrap/>
        <w:overflowPunct/>
        <w:topLinePunct w:val="0"/>
        <w:autoSpaceDE/>
        <w:autoSpaceDN/>
        <w:bidi w:val="0"/>
        <w:spacing w:line="576" w:lineRule="exact"/>
        <w:ind w:firstLine="333" w:firstLineChars="100"/>
        <w:textAlignment w:val="auto"/>
        <w:outlineLvl w:val="9"/>
        <w:rPr>
          <w:rFonts w:hint="eastAsia"/>
          <w:lang w:val="en-US" w:eastAsia="zh-CN"/>
        </w:rPr>
      </w:pPr>
      <w:r>
        <w:rPr>
          <w:rFonts w:hint="eastAsia" w:ascii="楷体_GB2312" w:hAnsi="楷体_GB2312" w:eastAsia="楷体_GB2312" w:cs="楷体_GB2312"/>
          <w:b/>
          <w:spacing w:val="6"/>
          <w:sz w:val="32"/>
          <w:szCs w:val="32"/>
          <w:lang w:eastAsia="zh-CN"/>
        </w:rPr>
        <w:t>（</w:t>
      </w:r>
      <w:r>
        <w:rPr>
          <w:rFonts w:hint="eastAsia" w:ascii="楷体_GB2312" w:hAnsi="楷体_GB2312" w:eastAsia="楷体_GB2312" w:cs="楷体_GB2312"/>
          <w:b/>
          <w:spacing w:val="6"/>
          <w:sz w:val="32"/>
          <w:szCs w:val="32"/>
          <w:lang w:val="en-US" w:eastAsia="zh-CN"/>
        </w:rPr>
        <w:t>一</w:t>
      </w:r>
      <w:r>
        <w:rPr>
          <w:rFonts w:hint="eastAsia" w:ascii="楷体_GB2312" w:hAnsi="楷体_GB2312" w:eastAsia="楷体_GB2312" w:cs="楷体_GB2312"/>
          <w:b/>
          <w:spacing w:val="6"/>
          <w:sz w:val="32"/>
          <w:szCs w:val="32"/>
          <w:lang w:eastAsia="zh-CN"/>
        </w:rPr>
        <w:t>）</w:t>
      </w:r>
      <w:r>
        <w:rPr>
          <w:rFonts w:hint="eastAsia" w:ascii="楷体_GB2312" w:hAnsi="楷体_GB2312" w:eastAsia="楷体_GB2312" w:cs="楷体_GB2312"/>
          <w:b/>
          <w:spacing w:val="6"/>
          <w:sz w:val="32"/>
          <w:szCs w:val="32"/>
        </w:rPr>
        <w:t>企业基本信息</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outlineLvl w:val="9"/>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双鸭山鸿展生物科技有限责任公司成立于2017年5月10日，法定代表人：杨闯，注册资本10,000万元，统一社会信用代码：91230521MA19DTPL8M，位于双鸭山市集贤县经济技术开发区。由黑龙江鸿展生物科技股份有限公司（法定代表人：杨闯）和自然人王桂林共同出资成立，其中杨闯持股比例90%，王桂林持股比例10%。企业主要经营范围：化学品生产；酒制品生产；饲料生产；食品生产；工业酒精销售；危险化学品仓储；道路货物运输（不含危险货物）一般项目粮食收购；装卸搬运；普通货物仓储服务。</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6" w:lineRule="exact"/>
        <w:ind w:firstLine="667" w:firstLineChars="200"/>
        <w:rPr>
          <w:rFonts w:hint="eastAsia" w:ascii="仿宋" w:hAnsi="仿宋" w:eastAsia="仿宋" w:cs="仿宋"/>
          <w:b/>
          <w:bCs/>
          <w:spacing w:val="6"/>
          <w:sz w:val="32"/>
          <w:szCs w:val="32"/>
        </w:rPr>
      </w:pPr>
      <w:r>
        <w:rPr>
          <w:rFonts w:hint="eastAsia" w:ascii="仿宋" w:hAnsi="仿宋" w:eastAsia="仿宋" w:cs="仿宋"/>
          <w:b/>
          <w:bCs/>
          <w:spacing w:val="6"/>
          <w:sz w:val="32"/>
          <w:szCs w:val="32"/>
        </w:rPr>
        <w:t>实际控制人情况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64" w:firstLineChars="200"/>
        <w:rPr>
          <w:rFonts w:hint="eastAsia" w:ascii="仿宋" w:hAnsi="仿宋" w:eastAsia="仿宋" w:cs="仿宋"/>
          <w:spacing w:val="6"/>
          <w:sz w:val="32"/>
          <w:szCs w:val="32"/>
        </w:rPr>
      </w:pPr>
      <w:r>
        <w:rPr>
          <w:rFonts w:hint="eastAsia" w:ascii="仿宋" w:hAnsi="仿宋" w:eastAsia="仿宋" w:cs="仿宋"/>
          <w:spacing w:val="6"/>
          <w:sz w:val="32"/>
          <w:szCs w:val="32"/>
        </w:rPr>
        <w:t>实际控制人：法人代表杨闯，性别：男，婚姻状况：已婚，年龄：</w:t>
      </w:r>
      <w:r>
        <w:rPr>
          <w:rFonts w:hint="eastAsia" w:ascii="仿宋" w:hAnsi="仿宋" w:eastAsia="仿宋" w:cs="仿宋"/>
          <w:spacing w:val="6"/>
          <w:sz w:val="32"/>
          <w:szCs w:val="32"/>
          <w:lang w:val="en-US" w:eastAsia="zh-CN"/>
        </w:rPr>
        <w:t>50</w:t>
      </w:r>
      <w:r>
        <w:rPr>
          <w:rFonts w:hint="eastAsia" w:ascii="仿宋" w:hAnsi="仿宋" w:eastAsia="仿宋" w:cs="仿宋"/>
          <w:spacing w:val="6"/>
          <w:sz w:val="32"/>
          <w:szCs w:val="32"/>
        </w:rPr>
        <w:t>岁，身份证号：511022197401282952，身体状况：健康，住址：四川省资阳市乐至县石佛镇高屋基村2组，从业经验</w:t>
      </w:r>
      <w:r>
        <w:rPr>
          <w:rFonts w:hint="eastAsia" w:ascii="仿宋" w:hAnsi="仿宋" w:eastAsia="仿宋" w:cs="仿宋"/>
          <w:spacing w:val="6"/>
          <w:sz w:val="32"/>
          <w:szCs w:val="32"/>
          <w:lang w:val="en-US" w:eastAsia="zh-CN"/>
        </w:rPr>
        <w:t>11</w:t>
      </w:r>
      <w:r>
        <w:rPr>
          <w:rFonts w:hint="eastAsia" w:ascii="仿宋" w:hAnsi="仿宋" w:eastAsia="仿宋" w:cs="仿宋"/>
          <w:spacing w:val="6"/>
          <w:sz w:val="32"/>
          <w:szCs w:val="32"/>
        </w:rPr>
        <w:t>年。配偶</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李燕</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年龄</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51</w:t>
      </w:r>
      <w:r>
        <w:rPr>
          <w:rFonts w:hint="eastAsia" w:ascii="仿宋" w:hAnsi="仿宋" w:eastAsia="仿宋" w:cs="仿宋"/>
          <w:spacing w:val="6"/>
          <w:sz w:val="32"/>
          <w:szCs w:val="32"/>
        </w:rPr>
        <w:t>岁</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身份证号</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51102219730315296X，身体状况：健康，住址：成都市锦江区华润路2号9栋1单元501室。</w:t>
      </w: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三、定价政策</w:t>
      </w:r>
    </w:p>
    <w:p>
      <w:pPr>
        <w:pStyle w:val="2"/>
        <w:ind w:left="0" w:leftChars="0" w:firstLine="664" w:firstLineChars="200"/>
        <w:rPr>
          <w:rFonts w:hint="eastAsia"/>
        </w:rPr>
      </w:pPr>
      <w:r>
        <w:rPr>
          <w:rFonts w:hint="eastAsia" w:ascii="方正仿宋_GB2312" w:hAnsi="方正仿宋_GB2312" w:eastAsia="方正仿宋_GB2312" w:cs="方正仿宋_GB2312"/>
          <w:spacing w:val="6"/>
          <w:sz w:val="32"/>
          <w:szCs w:val="32"/>
          <w:highlight w:val="none"/>
          <w:lang w:val="en-US" w:eastAsia="zh-CN"/>
        </w:rPr>
        <w:t>利率执行固定利率，按照借款提款日相对应的贷款市场报价基础利率（LPR）一年期3.35%加120个基点，年利率4.55%</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四</w:t>
      </w:r>
      <w:r>
        <w:rPr>
          <w:rFonts w:ascii="黑体" w:hAnsi="宋体" w:eastAsia="黑体" w:cs="黑体"/>
          <w:color w:val="000000"/>
          <w:kern w:val="0"/>
          <w:sz w:val="31"/>
          <w:szCs w:val="31"/>
          <w:lang w:val="en-US" w:eastAsia="zh-CN" w:bidi="ar"/>
        </w:rPr>
        <w:t>、会议决议情况</w:t>
      </w:r>
    </w:p>
    <w:p>
      <w:pPr>
        <w:keepNext w:val="0"/>
        <w:keepLines w:val="0"/>
        <w:widowControl/>
        <w:suppressLineNumbers w:val="0"/>
        <w:ind w:firstLine="620" w:firstLineChars="200"/>
        <w:jc w:val="left"/>
        <w:rPr>
          <w:highlight w:val="none"/>
        </w:rPr>
      </w:pPr>
      <w:r>
        <w:rPr>
          <w:rFonts w:ascii="仿宋_GB2312" w:hAnsi="宋体" w:eastAsia="仿宋_GB2312" w:cs="仿宋_GB2312"/>
          <w:color w:val="000000"/>
          <w:kern w:val="0"/>
          <w:sz w:val="31"/>
          <w:szCs w:val="31"/>
          <w:highlight w:val="none"/>
          <w:lang w:val="en-US" w:eastAsia="zh-CN" w:bidi="ar"/>
        </w:rPr>
        <w:t>根据相关监管规定及本行关联交易管理办法，本次业务</w:t>
      </w:r>
      <w:r>
        <w:rPr>
          <w:rFonts w:hint="eastAsia" w:ascii="仿宋_GB2312" w:hAnsi="宋体" w:eastAsia="仿宋_GB2312" w:cs="仿宋_GB2312"/>
          <w:color w:val="000000"/>
          <w:kern w:val="0"/>
          <w:sz w:val="31"/>
          <w:szCs w:val="31"/>
          <w:highlight w:val="none"/>
          <w:lang w:val="en-US" w:eastAsia="zh-CN" w:bidi="ar"/>
        </w:rPr>
        <w:t xml:space="preserve">构成本行重大关联交易，该笔授信由本行董事会关联交易控制委员会审核后，提交本行第二届董事会 2024 </w:t>
      </w:r>
      <w:r>
        <w:rPr>
          <w:rFonts w:hint="eastAsia" w:ascii="仿宋_GB2312" w:hAnsi="宋体" w:eastAsia="仿宋_GB2312" w:cs="仿宋_GB2312"/>
          <w:color w:val="auto"/>
          <w:kern w:val="0"/>
          <w:sz w:val="31"/>
          <w:szCs w:val="31"/>
          <w:highlight w:val="none"/>
          <w:lang w:val="en-US" w:eastAsia="zh-CN" w:bidi="ar"/>
        </w:rPr>
        <w:t>年第五次临</w:t>
      </w:r>
      <w:r>
        <w:rPr>
          <w:rFonts w:hint="eastAsia" w:ascii="仿宋_GB2312" w:hAnsi="宋体" w:eastAsia="仿宋_GB2312" w:cs="仿宋_GB2312"/>
          <w:color w:val="000000"/>
          <w:kern w:val="0"/>
          <w:sz w:val="31"/>
          <w:szCs w:val="31"/>
          <w:highlight w:val="none"/>
          <w:lang w:val="en-US" w:eastAsia="zh-CN" w:bidi="ar"/>
        </w:rPr>
        <w:t>时会议审议通过。</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五</w:t>
      </w:r>
      <w:r>
        <w:rPr>
          <w:rFonts w:ascii="黑体" w:hAnsi="宋体" w:eastAsia="黑体" w:cs="黑体"/>
          <w:color w:val="000000"/>
          <w:kern w:val="0"/>
          <w:sz w:val="31"/>
          <w:szCs w:val="31"/>
          <w:lang w:val="en-US" w:eastAsia="zh-CN" w:bidi="ar"/>
        </w:rPr>
        <w:t xml:space="preserve">、独立董事发表意见情况 </w:t>
      </w:r>
    </w:p>
    <w:p>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本行独立董事对该笔重大关联交易的关联交易公允性、</w:t>
      </w:r>
      <w:r>
        <w:rPr>
          <w:rFonts w:hint="eastAsia" w:ascii="仿宋_GB2312" w:hAnsi="宋体" w:eastAsia="仿宋_GB2312" w:cs="仿宋_GB2312"/>
          <w:color w:val="000000"/>
          <w:kern w:val="0"/>
          <w:sz w:val="31"/>
          <w:szCs w:val="31"/>
          <w:lang w:val="en-US" w:eastAsia="zh-CN" w:bidi="ar"/>
        </w:rPr>
        <w:t>合规性、内控审批程序发表书面意见，认为该笔重大关联交易符合相关规定。</w:t>
      </w:r>
    </w:p>
    <w:p>
      <w:pPr>
        <w:pStyle w:val="2"/>
        <w:keepNext w:val="0"/>
        <w:keepLines w:val="0"/>
        <w:pageBreakBefore w:val="0"/>
        <w:widowControl w:val="0"/>
        <w:kinsoku/>
        <w:wordWrap/>
        <w:overflowPunct/>
        <w:topLinePunct w:val="0"/>
        <w:autoSpaceDE/>
        <w:autoSpaceDN/>
        <w:bidi w:val="0"/>
        <w:spacing w:line="576" w:lineRule="exact"/>
        <w:ind w:left="3639" w:leftChars="152" w:hanging="3320" w:hangingChars="1000"/>
        <w:textAlignment w:val="auto"/>
        <w:outlineLvl w:val="9"/>
        <w:rPr>
          <w:rFonts w:hint="eastAsia" w:ascii="仿宋_GB2312" w:hAnsi="仿宋_GB2312" w:eastAsia="仿宋_GB2312" w:cs="仿宋_GB2312"/>
          <w:color w:val="auto"/>
          <w:spacing w:val="6"/>
          <w:sz w:val="32"/>
          <w:szCs w:val="32"/>
          <w:highlight w:val="yellow"/>
          <w:shd w:val="clear" w:color="auto" w:fill="auto"/>
          <w:lang w:val="en-US" w:eastAsia="zh-CN"/>
        </w:rPr>
      </w:pPr>
      <w:bookmarkStart w:id="0" w:name="_GoBack"/>
      <w:bookmarkEnd w:id="0"/>
    </w:p>
    <w:sectPr>
      <w:footerReference r:id="rId3" w:type="default"/>
      <w:pgSz w:w="11906" w:h="16838"/>
      <w:pgMar w:top="2098"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E81980-750E-430E-9CDE-96D28778A7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3A53282D-C999-44DA-A2DA-8B2318F3BEE9}"/>
  </w:font>
  <w:font w:name="仿宋_GB2312">
    <w:panose1 w:val="02010609030101010101"/>
    <w:charset w:val="86"/>
    <w:family w:val="auto"/>
    <w:pitch w:val="default"/>
    <w:sig w:usb0="00000001" w:usb1="080E0000" w:usb2="00000000" w:usb3="00000000" w:csb0="00040000" w:csb1="00000000"/>
    <w:embedRegular r:id="rId3" w:fontKey="{910675B7-9958-4775-AE09-BA0FA45EDB9C}"/>
  </w:font>
  <w:font w:name="方正仿宋_GB2312">
    <w:panose1 w:val="02000000000000000000"/>
    <w:charset w:val="86"/>
    <w:family w:val="auto"/>
    <w:pitch w:val="default"/>
    <w:sig w:usb0="A00002BF" w:usb1="184F6CFA" w:usb2="00000012" w:usb3="00000000" w:csb0="00040001" w:csb1="00000000"/>
    <w:embedRegular r:id="rId4" w:fontKey="{E9A470FC-C202-4225-B714-2D2713878161}"/>
  </w:font>
  <w:font w:name="楷体_GB2312">
    <w:panose1 w:val="02010609030101010101"/>
    <w:charset w:val="86"/>
    <w:family w:val="auto"/>
    <w:pitch w:val="default"/>
    <w:sig w:usb0="00000001" w:usb1="080E0000" w:usb2="00000000" w:usb3="00000000" w:csb0="00040000" w:csb1="00000000"/>
    <w:embedRegular r:id="rId5" w:fontKey="{7FF17C75-5E53-42BD-A6D0-B6E433CD15F2}"/>
  </w:font>
  <w:font w:name="仿宋">
    <w:panose1 w:val="02010609060101010101"/>
    <w:charset w:val="86"/>
    <w:family w:val="modern"/>
    <w:pitch w:val="default"/>
    <w:sig w:usb0="800002BF" w:usb1="38CF7CFA" w:usb2="00000016" w:usb3="00000000" w:csb0="00040001" w:csb1="00000000"/>
    <w:embedRegular r:id="rId6" w:fontKey="{96C3AFAB-D76C-4758-A968-EB2D3AE31D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7D853"/>
    <w:multiLevelType w:val="singleLevel"/>
    <w:tmpl w:val="EDF7D85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OTY4MzZjMGFkNThkNTEzOTAzYjc5YzUzYjdjNGMifQ=="/>
    <w:docVar w:name="KSO_WPS_MARK_KEY" w:val="594eab62-a688-4ae2-b1e2-3449dd3bbe6f"/>
  </w:docVars>
  <w:rsids>
    <w:rsidRoot w:val="00000000"/>
    <w:rsid w:val="013F5AA8"/>
    <w:rsid w:val="01925F1C"/>
    <w:rsid w:val="029F508B"/>
    <w:rsid w:val="03C51D6B"/>
    <w:rsid w:val="044B1342"/>
    <w:rsid w:val="04CF1B86"/>
    <w:rsid w:val="05A14F91"/>
    <w:rsid w:val="06365255"/>
    <w:rsid w:val="065E5F92"/>
    <w:rsid w:val="06AA28BE"/>
    <w:rsid w:val="072F0084"/>
    <w:rsid w:val="0831084F"/>
    <w:rsid w:val="0859167D"/>
    <w:rsid w:val="08711D3A"/>
    <w:rsid w:val="088D583B"/>
    <w:rsid w:val="0A0501E5"/>
    <w:rsid w:val="0A2C0C11"/>
    <w:rsid w:val="0C717BBF"/>
    <w:rsid w:val="0CF67B0A"/>
    <w:rsid w:val="0D215E1C"/>
    <w:rsid w:val="0DC12675"/>
    <w:rsid w:val="0DDC051A"/>
    <w:rsid w:val="0E7A16F3"/>
    <w:rsid w:val="0F651E25"/>
    <w:rsid w:val="0FFA3C1C"/>
    <w:rsid w:val="13530729"/>
    <w:rsid w:val="139E0642"/>
    <w:rsid w:val="14696EA4"/>
    <w:rsid w:val="152F63E2"/>
    <w:rsid w:val="16775F6C"/>
    <w:rsid w:val="182751A9"/>
    <w:rsid w:val="194D300E"/>
    <w:rsid w:val="1A5F7802"/>
    <w:rsid w:val="1B925650"/>
    <w:rsid w:val="1CB87339"/>
    <w:rsid w:val="1D385D84"/>
    <w:rsid w:val="1E97648F"/>
    <w:rsid w:val="1F146E42"/>
    <w:rsid w:val="20265790"/>
    <w:rsid w:val="239477DA"/>
    <w:rsid w:val="23BC326A"/>
    <w:rsid w:val="243A3992"/>
    <w:rsid w:val="24431BDE"/>
    <w:rsid w:val="248C70E1"/>
    <w:rsid w:val="277F5A2A"/>
    <w:rsid w:val="27F02620"/>
    <w:rsid w:val="29B16513"/>
    <w:rsid w:val="2A7F1496"/>
    <w:rsid w:val="2CE511E7"/>
    <w:rsid w:val="2D300825"/>
    <w:rsid w:val="2D810AF9"/>
    <w:rsid w:val="2E447318"/>
    <w:rsid w:val="2E8F6179"/>
    <w:rsid w:val="2F706AE8"/>
    <w:rsid w:val="2FE46500"/>
    <w:rsid w:val="30D43175"/>
    <w:rsid w:val="30DF67EA"/>
    <w:rsid w:val="323C0309"/>
    <w:rsid w:val="33A13231"/>
    <w:rsid w:val="33B57CD6"/>
    <w:rsid w:val="33C61EE3"/>
    <w:rsid w:val="34445FB4"/>
    <w:rsid w:val="346254FF"/>
    <w:rsid w:val="34BD6E42"/>
    <w:rsid w:val="34D44F4D"/>
    <w:rsid w:val="35020617"/>
    <w:rsid w:val="35F36FB4"/>
    <w:rsid w:val="36542E40"/>
    <w:rsid w:val="36613399"/>
    <w:rsid w:val="373028DF"/>
    <w:rsid w:val="382E08B6"/>
    <w:rsid w:val="3B606CBF"/>
    <w:rsid w:val="3B784FA0"/>
    <w:rsid w:val="3BC925E9"/>
    <w:rsid w:val="3C996A61"/>
    <w:rsid w:val="3D1E1474"/>
    <w:rsid w:val="3D4E1FF5"/>
    <w:rsid w:val="3E4872D1"/>
    <w:rsid w:val="40112425"/>
    <w:rsid w:val="41A77B35"/>
    <w:rsid w:val="42425D95"/>
    <w:rsid w:val="424263C5"/>
    <w:rsid w:val="42A7705E"/>
    <w:rsid w:val="42E525EC"/>
    <w:rsid w:val="43511B18"/>
    <w:rsid w:val="43972CE4"/>
    <w:rsid w:val="47D569F9"/>
    <w:rsid w:val="47E16C9E"/>
    <w:rsid w:val="4B88737F"/>
    <w:rsid w:val="4BBB560D"/>
    <w:rsid w:val="4BDE12DF"/>
    <w:rsid w:val="4C5C14A4"/>
    <w:rsid w:val="4D50664E"/>
    <w:rsid w:val="4E1C0BF2"/>
    <w:rsid w:val="4EDB63EB"/>
    <w:rsid w:val="4F0F2376"/>
    <w:rsid w:val="52552958"/>
    <w:rsid w:val="550D4D66"/>
    <w:rsid w:val="55F0485E"/>
    <w:rsid w:val="5684679F"/>
    <w:rsid w:val="582F1556"/>
    <w:rsid w:val="5B817566"/>
    <w:rsid w:val="5D5910C5"/>
    <w:rsid w:val="5EA07923"/>
    <w:rsid w:val="60337DF2"/>
    <w:rsid w:val="60F82877"/>
    <w:rsid w:val="61060107"/>
    <w:rsid w:val="61B277AC"/>
    <w:rsid w:val="62235081"/>
    <w:rsid w:val="65D976D1"/>
    <w:rsid w:val="674E461C"/>
    <w:rsid w:val="67966E0D"/>
    <w:rsid w:val="679766E8"/>
    <w:rsid w:val="67E54349"/>
    <w:rsid w:val="6A3A2708"/>
    <w:rsid w:val="6A6908F7"/>
    <w:rsid w:val="6B1940CB"/>
    <w:rsid w:val="6B282560"/>
    <w:rsid w:val="6B777F82"/>
    <w:rsid w:val="6BF07522"/>
    <w:rsid w:val="6C8F2BE0"/>
    <w:rsid w:val="6CA64CFD"/>
    <w:rsid w:val="6E5E78A6"/>
    <w:rsid w:val="6F680B92"/>
    <w:rsid w:val="6FC36CFC"/>
    <w:rsid w:val="70B84AE2"/>
    <w:rsid w:val="71C773D1"/>
    <w:rsid w:val="74036806"/>
    <w:rsid w:val="74603CE4"/>
    <w:rsid w:val="746C4AC5"/>
    <w:rsid w:val="751853F4"/>
    <w:rsid w:val="775C14F1"/>
    <w:rsid w:val="77D554CD"/>
    <w:rsid w:val="780C1AD4"/>
    <w:rsid w:val="78BF5832"/>
    <w:rsid w:val="78FB7506"/>
    <w:rsid w:val="79C8772E"/>
    <w:rsid w:val="7A0D5656"/>
    <w:rsid w:val="7A21330E"/>
    <w:rsid w:val="7A624E3A"/>
    <w:rsid w:val="7A8F6B75"/>
    <w:rsid w:val="7BE94DCF"/>
    <w:rsid w:val="7CC7607D"/>
    <w:rsid w:val="7D0F04D7"/>
    <w:rsid w:val="7D31799A"/>
    <w:rsid w:val="7F4A228E"/>
    <w:rsid w:val="7F4C6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autoRedefine/>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0"/>
    <w:pPr>
      <w:spacing w:after="120" w:afterLines="0"/>
    </w:pPr>
  </w:style>
  <w:style w:type="paragraph" w:styleId="4">
    <w:name w:val="annotation text"/>
    <w:basedOn w:val="1"/>
    <w:autoRedefine/>
    <w:unhideWhenUsed/>
    <w:qFormat/>
    <w:uiPriority w:val="0"/>
    <w:pPr>
      <w:jc w:val="left"/>
    </w:pPr>
    <w:rPr>
      <w:szCs w:val="22"/>
    </w:rPr>
  </w:style>
  <w:style w:type="paragraph" w:styleId="5">
    <w:name w:val="Date"/>
    <w:basedOn w:val="1"/>
    <w:next w:val="1"/>
    <w:qFormat/>
    <w:uiPriority w:val="0"/>
    <w:pPr>
      <w:ind w:left="100" w:leftChars="2500"/>
    </w:pPr>
    <w:rPr>
      <w:kern w:val="2"/>
      <w:sz w:val="44"/>
      <w:szCs w:val="24"/>
    </w:rPr>
  </w:style>
  <w:style w:type="paragraph" w:styleId="6">
    <w:name w:val="Body Text Indent 2"/>
    <w:basedOn w:val="1"/>
    <w:qFormat/>
    <w:uiPriority w:val="0"/>
    <w:pPr>
      <w:ind w:firstLine="560" w:firstLineChars="200"/>
    </w:pPr>
    <w:rPr>
      <w:rFonts w:ascii="Times New Roman" w:hAnsi="Times New Roman"/>
      <w:sz w:val="28"/>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Body Text 2"/>
    <w:basedOn w:val="1"/>
    <w:autoRedefine/>
    <w:qFormat/>
    <w:uiPriority w:val="0"/>
    <w:pPr>
      <w:spacing w:after="120" w:afterLines="0" w:line="480" w:lineRule="auto"/>
    </w:pPr>
  </w:style>
  <w:style w:type="paragraph" w:customStyle="1" w:styleId="13">
    <w:name w:val="正文首行缩进1"/>
    <w:next w:val="1"/>
    <w:autoRedefine/>
    <w:qFormat/>
    <w:uiPriority w:val="99"/>
    <w:pPr>
      <w:widowControl w:val="0"/>
      <w:spacing w:after="120" w:line="540" w:lineRule="exact"/>
      <w:ind w:firstLine="420" w:firstLineChars="100"/>
      <w:jc w:val="both"/>
    </w:pPr>
    <w:rPr>
      <w:rFonts w:ascii="宋体" w:hAnsi="Times New Roman" w:eastAsia="宋体" w:cs="宋体"/>
      <w:kern w:val="2"/>
      <w:sz w:val="25"/>
      <w:szCs w:val="25"/>
      <w:lang w:val="en-US" w:eastAsia="zh-CN" w:bidi="ar-SA"/>
    </w:rPr>
  </w:style>
  <w:style w:type="character" w:customStyle="1" w:styleId="14">
    <w:name w:val="NormalCharacter"/>
    <w:autoRedefine/>
    <w:qFormat/>
    <w:uiPriority w:val="0"/>
  </w:style>
  <w:style w:type="paragraph" w:customStyle="1" w:styleId="15">
    <w:name w:val="列出段落1"/>
    <w:basedOn w:val="1"/>
    <w:autoRedefine/>
    <w:qFormat/>
    <w:uiPriority w:val="0"/>
    <w:pPr>
      <w:ind w:firstLine="420" w:firstLineChars="200"/>
    </w:pPr>
    <w:rPr>
      <w:rFonts w:eastAsia="宋体"/>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14635</Words>
  <Characters>22746</Characters>
  <Lines>0</Lines>
  <Paragraphs>0</Paragraphs>
  <TotalTime>11</TotalTime>
  <ScaleCrop>false</ScaleCrop>
  <LinksUpToDate>false</LinksUpToDate>
  <CharactersWithSpaces>23140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2023-02-10T03:19:00Z</dcterms:created>
  <dc:creator>MyPC</dc:creator>
  <cp:lastModifiedBy>小超</cp:lastModifiedBy>
  <cp:lastPrinted>2024-11-15T06:27:00Z</cp:lastPrinted>
  <dcterms:modified xsi:type="dcterms:W3CDTF">2024-11-29T03:02:59Z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84C3D89464F04ADEB54BA43536D6F2A2</vt:lpwstr>
  </property>
</Properties>
</file>